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1515CE83"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DB64BA">
        <w:rPr>
          <w:rFonts w:cs="Arial"/>
          <w:b/>
          <w:bCs/>
          <w:kern w:val="0"/>
          <w:sz w:val="24"/>
        </w:rPr>
        <w:t>6</w:t>
      </w:r>
      <w:r w:rsidR="00C82725">
        <w:rPr>
          <w:rFonts w:cs="Arial"/>
          <w:b/>
          <w:bCs/>
          <w:kern w:val="0"/>
          <w:sz w:val="24"/>
        </w:rPr>
        <w:t>bis-</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sidR="00CB42DF">
        <w:rPr>
          <w:rFonts w:cs="Arial"/>
          <w:b/>
          <w:bCs/>
          <w:kern w:val="0"/>
          <w:sz w:val="24"/>
        </w:rPr>
        <w:t xml:space="preserve">   </w:t>
      </w:r>
      <w:r>
        <w:rPr>
          <w:rFonts w:cs="Arial"/>
          <w:b/>
          <w:bCs/>
          <w:kern w:val="0"/>
          <w:sz w:val="24"/>
        </w:rPr>
        <w:t xml:space="preserve">      </w:t>
      </w:r>
      <w:r w:rsidR="00AA3089">
        <w:rPr>
          <w:rFonts w:cs="Arial"/>
          <w:b/>
          <w:bCs/>
          <w:kern w:val="0"/>
          <w:sz w:val="24"/>
        </w:rPr>
        <w:t xml:space="preserve">      R2-2</w:t>
      </w:r>
      <w:r w:rsidR="00044E49">
        <w:rPr>
          <w:rFonts w:cs="Arial"/>
          <w:b/>
          <w:bCs/>
          <w:kern w:val="0"/>
          <w:sz w:val="24"/>
        </w:rPr>
        <w:t>20</w:t>
      </w:r>
      <w:r w:rsidR="00CB42DF">
        <w:rPr>
          <w:rFonts w:cs="Arial"/>
          <w:b/>
          <w:bCs/>
          <w:kern w:val="0"/>
          <w:sz w:val="24"/>
        </w:rPr>
        <w:t>0605</w:t>
      </w:r>
      <w:r>
        <w:rPr>
          <w:rFonts w:cs="Arial" w:hint="eastAsia"/>
          <w:b/>
          <w:bCs/>
          <w:kern w:val="0"/>
          <w:sz w:val="24"/>
        </w:rPr>
        <w:t xml:space="preserve">  </w:t>
      </w:r>
    </w:p>
    <w:p w14:paraId="13013E51" w14:textId="7167EC44"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C82725">
        <w:rPr>
          <w:rFonts w:cs="Arial"/>
          <w:b/>
          <w:bCs/>
          <w:kern w:val="0"/>
          <w:sz w:val="24"/>
          <w:lang w:val="en-GB"/>
        </w:rPr>
        <w:t>7</w:t>
      </w:r>
      <w:r w:rsidR="00DB64BA">
        <w:rPr>
          <w:rFonts w:cs="Arial"/>
          <w:b/>
          <w:bCs/>
          <w:kern w:val="0"/>
          <w:sz w:val="24"/>
          <w:vertAlign w:val="superscript"/>
        </w:rPr>
        <w:t>t</w:t>
      </w:r>
      <w:r w:rsidR="00C82725">
        <w:rPr>
          <w:rFonts w:cs="Arial"/>
          <w:b/>
          <w:bCs/>
          <w:kern w:val="0"/>
          <w:sz w:val="24"/>
          <w:vertAlign w:val="superscript"/>
        </w:rPr>
        <w:t>h</w:t>
      </w:r>
      <w:r>
        <w:rPr>
          <w:rFonts w:cs="Arial"/>
          <w:b/>
          <w:bCs/>
          <w:kern w:val="0"/>
          <w:sz w:val="24"/>
          <w:lang w:val="en-GB"/>
        </w:rPr>
        <w:t xml:space="preserve"> – </w:t>
      </w:r>
      <w:r w:rsidR="0021350C">
        <w:rPr>
          <w:rFonts w:cs="Arial"/>
          <w:b/>
          <w:bCs/>
          <w:kern w:val="0"/>
          <w:sz w:val="24"/>
        </w:rPr>
        <w:t>2</w:t>
      </w:r>
      <w:r w:rsidR="00C82725">
        <w:rPr>
          <w:rFonts w:cs="Arial"/>
          <w:b/>
          <w:bCs/>
          <w:kern w:val="0"/>
          <w:sz w:val="24"/>
        </w:rPr>
        <w:t>5</w:t>
      </w:r>
      <w:r>
        <w:rPr>
          <w:rFonts w:cs="Arial"/>
          <w:b/>
          <w:bCs/>
          <w:kern w:val="0"/>
          <w:sz w:val="24"/>
          <w:vertAlign w:val="superscript"/>
        </w:rPr>
        <w:t>th</w:t>
      </w:r>
      <w:r>
        <w:rPr>
          <w:rFonts w:cs="Arial"/>
          <w:b/>
          <w:bCs/>
          <w:kern w:val="0"/>
          <w:sz w:val="24"/>
          <w:lang w:val="en-GB"/>
        </w:rPr>
        <w:t xml:space="preserve"> </w:t>
      </w:r>
      <w:r w:rsidR="00C82725">
        <w:rPr>
          <w:rFonts w:cs="Arial"/>
          <w:b/>
          <w:bCs/>
          <w:kern w:val="0"/>
          <w:sz w:val="24"/>
        </w:rPr>
        <w:t>January</w:t>
      </w:r>
      <w:r>
        <w:rPr>
          <w:rFonts w:cs="Arial" w:hint="eastAsia"/>
          <w:b/>
          <w:bCs/>
          <w:kern w:val="0"/>
          <w:sz w:val="24"/>
          <w:lang w:val="en-GB"/>
        </w:rPr>
        <w:t xml:space="preserve"> 20</w:t>
      </w:r>
      <w:r w:rsidR="00C82725">
        <w:rPr>
          <w:rFonts w:cs="Arial"/>
          <w:b/>
          <w:bCs/>
          <w:kern w:val="0"/>
          <w:sz w:val="24"/>
          <w:lang w:val="en-GB"/>
        </w:rPr>
        <w:t>22</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3F53E6C4"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2413C7">
        <w:rPr>
          <w:rFonts w:cs="Arial"/>
          <w:b/>
          <w:bCs/>
          <w:snapToGrid w:val="0"/>
          <w:kern w:val="0"/>
          <w:sz w:val="24"/>
        </w:rPr>
        <w:t>Activation of deactivated SCG</w:t>
      </w:r>
    </w:p>
    <w:p w14:paraId="774FE3B4" w14:textId="6A2208D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27555">
        <w:rPr>
          <w:rFonts w:cs="Arial"/>
          <w:b/>
          <w:bCs/>
          <w:snapToGrid w:val="0"/>
          <w:kern w:val="0"/>
          <w:sz w:val="24"/>
        </w:rPr>
        <w:t>8.2.2</w:t>
      </w:r>
      <w:r w:rsidR="0021350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0F3C65" w14:textId="33741239" w:rsidR="0021350C" w:rsidRDefault="00784348" w:rsidP="00A07A65">
      <w:pPr>
        <w:spacing w:before="120" w:after="0"/>
      </w:pPr>
      <w:r>
        <w:t>In</w:t>
      </w:r>
      <w:bookmarkStart w:id="2" w:name="_GoBack"/>
      <w:bookmarkEnd w:id="2"/>
      <w:r w:rsidR="0021350C">
        <w:t xml:space="preserve"> RAN2_11</w:t>
      </w:r>
      <w:r w:rsidR="002413C7">
        <w:t>6</w:t>
      </w:r>
      <w:r w:rsidR="0021350C">
        <w:t xml:space="preserve">e meeting, </w:t>
      </w:r>
      <w:r w:rsidR="002413C7">
        <w:t>companies discussed UE-initiated SCG activation and made following agreements</w:t>
      </w:r>
      <w:r w:rsidR="0021350C">
        <w:t>:</w:t>
      </w:r>
    </w:p>
    <w:p w14:paraId="06643430" w14:textId="77777777" w:rsidR="00711D94" w:rsidRPr="00711D94" w:rsidRDefault="00711D94" w:rsidP="00711D94">
      <w:pPr>
        <w:pStyle w:val="Agreement"/>
        <w:pBdr>
          <w:top w:val="single" w:sz="4" w:space="1" w:color="auto"/>
          <w:left w:val="single" w:sz="4" w:space="4" w:color="auto"/>
          <w:bottom w:val="single" w:sz="4" w:space="1" w:color="auto"/>
          <w:right w:val="single" w:sz="4" w:space="4" w:color="auto"/>
        </w:pBdr>
        <w:tabs>
          <w:tab w:val="clear" w:pos="1619"/>
        </w:tabs>
        <w:ind w:left="567" w:hanging="283"/>
      </w:pPr>
      <w:r w:rsidRPr="00711D94">
        <w:t>Agreements</w:t>
      </w:r>
    </w:p>
    <w:p w14:paraId="707E4DBD" w14:textId="42DA9050" w:rsidR="002413C7" w:rsidRPr="002413C7" w:rsidRDefault="002413C7" w:rsidP="002413C7">
      <w:pPr>
        <w:pStyle w:val="Agreement"/>
        <w:pBdr>
          <w:top w:val="single" w:sz="4" w:space="1" w:color="auto"/>
          <w:left w:val="single" w:sz="4" w:space="4" w:color="auto"/>
          <w:bottom w:val="single" w:sz="4" w:space="1" w:color="auto"/>
          <w:right w:val="single" w:sz="4" w:space="4" w:color="auto"/>
        </w:pBdr>
        <w:tabs>
          <w:tab w:val="left" w:pos="567"/>
        </w:tabs>
        <w:spacing w:after="60"/>
        <w:ind w:left="568" w:hanging="284"/>
        <w:rPr>
          <w:lang w:val="en-US"/>
        </w:rPr>
      </w:pPr>
      <w:r w:rsidRPr="002413C7">
        <w:rPr>
          <w:lang w:val="en-US"/>
        </w:rPr>
        <w:t>1: RAN2 will not ask RAN3 to allow SCG activation by the SN without MN's response.</w:t>
      </w:r>
    </w:p>
    <w:p w14:paraId="55F5061B" w14:textId="23B1A11B" w:rsidR="002413C7" w:rsidRDefault="002413C7" w:rsidP="002413C7">
      <w:pPr>
        <w:pStyle w:val="Agreement"/>
        <w:pBdr>
          <w:top w:val="single" w:sz="4" w:space="1" w:color="auto"/>
          <w:left w:val="single" w:sz="4" w:space="4" w:color="auto"/>
          <w:bottom w:val="single" w:sz="4" w:space="1" w:color="auto"/>
          <w:right w:val="single" w:sz="4" w:space="4" w:color="auto"/>
        </w:pBdr>
        <w:tabs>
          <w:tab w:val="left" w:pos="567"/>
        </w:tabs>
        <w:spacing w:after="60"/>
        <w:ind w:left="568" w:hanging="284"/>
      </w:pPr>
      <w:r>
        <w:t>2: Support the following solutions for UL data arrival while the SCG is deactivated:</w:t>
      </w:r>
    </w:p>
    <w:p w14:paraId="33F81200" w14:textId="77777777" w:rsidR="002413C7" w:rsidRDefault="002413C7" w:rsidP="002413C7">
      <w:pPr>
        <w:pStyle w:val="Agreement"/>
        <w:pBdr>
          <w:top w:val="single" w:sz="4" w:space="1" w:color="auto"/>
          <w:left w:val="single" w:sz="4" w:space="4" w:color="auto"/>
          <w:bottom w:val="single" w:sz="4" w:space="1" w:color="auto"/>
          <w:right w:val="single" w:sz="4" w:space="4" w:color="auto"/>
        </w:pBdr>
        <w:tabs>
          <w:tab w:val="left" w:pos="567"/>
        </w:tabs>
        <w:spacing w:after="60"/>
        <w:ind w:left="568" w:hanging="284"/>
      </w:pPr>
      <w:r>
        <w:t>1) for split bearers, send the data via the MCG leg. FFS how this can be implemented in Stage-3.</w:t>
      </w:r>
    </w:p>
    <w:p w14:paraId="4ED75BD2" w14:textId="77777777" w:rsidR="002413C7" w:rsidRDefault="002413C7" w:rsidP="002413C7">
      <w:pPr>
        <w:pStyle w:val="Agreement"/>
        <w:pBdr>
          <w:top w:val="single" w:sz="4" w:space="1" w:color="auto"/>
          <w:left w:val="single" w:sz="4" w:space="4" w:color="auto"/>
          <w:bottom w:val="single" w:sz="4" w:space="1" w:color="auto"/>
          <w:right w:val="single" w:sz="4" w:space="4" w:color="auto"/>
        </w:pBdr>
        <w:tabs>
          <w:tab w:val="left" w:pos="567"/>
        </w:tabs>
        <w:spacing w:after="60"/>
        <w:ind w:left="568" w:hanging="284"/>
      </w:pPr>
      <w:r>
        <w:t>2) for SCG bearers, the UE indicates via the MCG that it has UL data to send for an SCG bearer.</w:t>
      </w:r>
    </w:p>
    <w:p w14:paraId="36EA6E9E" w14:textId="77777777" w:rsidR="002413C7" w:rsidRDefault="002413C7" w:rsidP="002413C7">
      <w:pPr>
        <w:pStyle w:val="Agreement"/>
        <w:pBdr>
          <w:top w:val="single" w:sz="4" w:space="1" w:color="auto"/>
          <w:left w:val="single" w:sz="4" w:space="4" w:color="auto"/>
          <w:bottom w:val="single" w:sz="4" w:space="1" w:color="auto"/>
          <w:right w:val="single" w:sz="4" w:space="4" w:color="auto"/>
        </w:pBdr>
        <w:tabs>
          <w:tab w:val="left" w:pos="567"/>
        </w:tabs>
        <w:spacing w:after="60"/>
        <w:ind w:left="568" w:hanging="284"/>
      </w:pPr>
      <w:r>
        <w:t>- FFS indication contents and format (e.g. MN RRC message, embedded SN RRC message)</w:t>
      </w:r>
    </w:p>
    <w:p w14:paraId="0C4287C2" w14:textId="55DF1451" w:rsidR="0021350C" w:rsidRDefault="002413C7" w:rsidP="002413C7">
      <w:pPr>
        <w:pStyle w:val="Agreement"/>
        <w:pBdr>
          <w:top w:val="single" w:sz="4" w:space="1" w:color="auto"/>
          <w:left w:val="single" w:sz="4" w:space="4" w:color="auto"/>
          <w:bottom w:val="single" w:sz="4" w:space="1" w:color="auto"/>
          <w:right w:val="single" w:sz="4" w:space="4" w:color="auto"/>
        </w:pBdr>
        <w:tabs>
          <w:tab w:val="clear" w:pos="1619"/>
          <w:tab w:val="left" w:pos="567"/>
        </w:tabs>
        <w:spacing w:before="0" w:after="60"/>
        <w:ind w:left="568" w:hanging="284"/>
      </w:pPr>
      <w:r>
        <w:t>- FFS whether this indication can be used for split bearers.</w:t>
      </w:r>
    </w:p>
    <w:p w14:paraId="58173A97" w14:textId="5C9A7E1B" w:rsidR="0043711F" w:rsidRDefault="00176DD7" w:rsidP="006D2426">
      <w:pPr>
        <w:spacing w:before="120" w:after="0"/>
      </w:pPr>
      <w:r>
        <w:t xml:space="preserve">In this document, we </w:t>
      </w:r>
      <w:r w:rsidR="00711D94">
        <w:t>further discuss</w:t>
      </w:r>
      <w:r w:rsidR="00D1158C">
        <w:t xml:space="preserve"> </w:t>
      </w:r>
      <w:r w:rsidR="00621733">
        <w:t xml:space="preserve">the remaining </w:t>
      </w:r>
      <w:r w:rsidR="002413C7">
        <w:t>issues, and other aspects related to SCG activation</w:t>
      </w:r>
      <w:r w:rsidR="006D2426">
        <w:t xml:space="preserve">. </w:t>
      </w:r>
    </w:p>
    <w:p w14:paraId="02C2FE69" w14:textId="3E539438" w:rsidR="00015639" w:rsidRDefault="008137C2"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UL data arrival</w:t>
      </w:r>
    </w:p>
    <w:p w14:paraId="47300FBE" w14:textId="77777777" w:rsidR="00945A30" w:rsidRPr="00945A30" w:rsidRDefault="00945A30" w:rsidP="00DF1522">
      <w:pPr>
        <w:rPr>
          <w:i/>
          <w:u w:val="single"/>
        </w:rPr>
      </w:pPr>
      <w:r w:rsidRPr="00945A30">
        <w:rPr>
          <w:i/>
          <w:u w:val="single"/>
        </w:rPr>
        <w:t>For split bearer:</w:t>
      </w:r>
    </w:p>
    <w:p w14:paraId="6A47FB33" w14:textId="77777777" w:rsidR="00CE7518" w:rsidRDefault="00FB0A45" w:rsidP="00DF1522">
      <w:r>
        <w:t>For split bearer, since MCG RLC bearer is configured, so UE can send UL data via MCG leg when SCG is deactivated. However, it is unclear how UE behaves if the pri</w:t>
      </w:r>
      <w:r w:rsidR="0028228F">
        <w:t>mary path of the split bearer was</w:t>
      </w:r>
      <w:r>
        <w:t xml:space="preserve"> set to “SCG leg”. Some companies propose that UE should autonomously change the primary path to MCG leg </w:t>
      </w:r>
      <w:r w:rsidR="00CE7518">
        <w:t>upon</w:t>
      </w:r>
      <w:r>
        <w:t xml:space="preserve"> SCG deactivation, thus UL data can be delivered via MCG leg first. </w:t>
      </w:r>
    </w:p>
    <w:p w14:paraId="5A4D2A94" w14:textId="0AEC27E1" w:rsidR="00CE7518" w:rsidRDefault="00FB0A45" w:rsidP="00DF1522">
      <w:r>
        <w:t xml:space="preserve">However, considering the SCG deactivation is triggered by network, </w:t>
      </w:r>
      <w:r w:rsidR="00CE7518">
        <w:t xml:space="preserve">it is possible that network reconfigures the “primary path” when deactivating the SCG. We see no need to </w:t>
      </w:r>
      <w:r w:rsidR="00C751C5">
        <w:t>define</w:t>
      </w:r>
      <w:r w:rsidR="00CE7518">
        <w:t xml:space="preserve"> autonomous behavior. Most of all, </w:t>
      </w:r>
      <w:r w:rsidR="00C751C5">
        <w:t>when network triggers handover procedure, the PDCP configuration is considered as part of UE context. If UE autonomously updates some fields (e.g. primary path), during handover procedure, it is unclear how the source network (MN) should forward the fields to target network, and it may cause confusion to target cell. And the target cell is unclear whether the UE will autonomously change the primary path back to “SCG”</w:t>
      </w:r>
      <w:r w:rsidR="00F10A2C">
        <w:t xml:space="preserve"> when </w:t>
      </w:r>
      <w:r w:rsidR="00C751C5">
        <w:t>SCG is activated. Therefore, to avoid mismatch between the network and the UE, it is better to use explicit IE if the network wants to change the primary path.</w:t>
      </w:r>
    </w:p>
    <w:p w14:paraId="5A16E04B" w14:textId="1AEA8C22" w:rsidR="00F10A2C" w:rsidRPr="00D2688D" w:rsidRDefault="009C18D6" w:rsidP="00D2688D">
      <w:pPr>
        <w:ind w:left="1134" w:hanging="1134"/>
        <w:rPr>
          <w:b/>
        </w:rPr>
      </w:pPr>
      <w:r>
        <w:rPr>
          <w:b/>
        </w:rPr>
        <w:t xml:space="preserve">Proposal </w:t>
      </w:r>
      <w:r w:rsidR="00D2688D">
        <w:rPr>
          <w:b/>
        </w:rPr>
        <w:t>1</w:t>
      </w:r>
      <w:r>
        <w:rPr>
          <w:b/>
        </w:rPr>
        <w:t>: UE does not autonomously change the primary path of split bearer upon SCG (de)activation</w:t>
      </w:r>
      <w:r w:rsidR="004D10AC">
        <w:rPr>
          <w:b/>
        </w:rPr>
        <w:t xml:space="preserve"> (i</w:t>
      </w:r>
      <w:r>
        <w:rPr>
          <w:b/>
        </w:rPr>
        <w:t xml:space="preserve">f needed, network can </w:t>
      </w:r>
      <w:r w:rsidR="004D10AC">
        <w:rPr>
          <w:b/>
        </w:rPr>
        <w:t xml:space="preserve">explicitly </w:t>
      </w:r>
      <w:r>
        <w:rPr>
          <w:b/>
        </w:rPr>
        <w:t xml:space="preserve">reconfigure </w:t>
      </w:r>
      <w:r w:rsidR="002B3320">
        <w:rPr>
          <w:b/>
        </w:rPr>
        <w:t>the</w:t>
      </w:r>
      <w:r w:rsidR="009D1CBC">
        <w:rPr>
          <w:b/>
        </w:rPr>
        <w:t xml:space="preserve"> field</w:t>
      </w:r>
      <w:r>
        <w:rPr>
          <w:b/>
        </w:rPr>
        <w:t>).</w:t>
      </w:r>
    </w:p>
    <w:p w14:paraId="370CEDF8" w14:textId="1F7A9D46" w:rsidR="009C18D6" w:rsidRDefault="00945A30" w:rsidP="00DF1522">
      <w:r w:rsidRPr="00945A30">
        <w:rPr>
          <w:i/>
          <w:u w:val="single"/>
        </w:rPr>
        <w:lastRenderedPageBreak/>
        <w:t xml:space="preserve">For </w:t>
      </w:r>
      <w:r>
        <w:rPr>
          <w:i/>
          <w:u w:val="single"/>
        </w:rPr>
        <w:t>SCG</w:t>
      </w:r>
      <w:r w:rsidRPr="00945A30">
        <w:rPr>
          <w:i/>
          <w:u w:val="single"/>
        </w:rPr>
        <w:t xml:space="preserve"> bearer:</w:t>
      </w:r>
    </w:p>
    <w:p w14:paraId="6EE8D5D4" w14:textId="77777777" w:rsidR="000F3AB4" w:rsidRDefault="00771C60" w:rsidP="000F3AB4">
      <w:r>
        <w:t xml:space="preserve">RAN2 has agreed that SCG bearer can be kept while SCG is deactivated. In case UL data arrives at SCG bearer, UE is required to send indication to MN, requests the MN to activate SCG, but it is still FFS which RRC message should be used. For simplicity, we think it is sufficient to use </w:t>
      </w:r>
      <w:r w:rsidRPr="00771C60">
        <w:rPr>
          <w:i/>
        </w:rPr>
        <w:t>UEAssistanceInformation</w:t>
      </w:r>
      <w:r>
        <w:t xml:space="preserve"> message by including 1 bit “SCG activation”</w:t>
      </w:r>
      <w:r w:rsidR="00157A49">
        <w:t xml:space="preserve"> preference indication, because </w:t>
      </w:r>
      <w:r>
        <w:t xml:space="preserve">UAI is used to carry UE’s preference information to network. Currently, UAI </w:t>
      </w:r>
      <w:r w:rsidR="00157A49">
        <w:t>can be</w:t>
      </w:r>
      <w:r>
        <w:t xml:space="preserve"> used to indicate “RRC state” preference, overheating indication, power saving preference…etc. For UE-initiated SCG activation, since </w:t>
      </w:r>
      <w:r w:rsidR="00157A49">
        <w:t>the UE anyway needs to wait for network’s response before activating the SCG. Then the SCG activation request sent to network can be considered as another “UE preference”.</w:t>
      </w:r>
    </w:p>
    <w:p w14:paraId="2277C445" w14:textId="47E38FBD" w:rsidR="00157A49" w:rsidRDefault="000F3AB4" w:rsidP="000F3AB4">
      <w:r>
        <w:t>From network perspective, i</w:t>
      </w:r>
      <w:r w:rsidR="00157A49">
        <w:t xml:space="preserve">t might be beneficial </w:t>
      </w:r>
      <w:r>
        <w:t>if UE can</w:t>
      </w:r>
      <w:r w:rsidR="00157A49">
        <w:t xml:space="preserve"> indicate the concerned SCG bearer ID</w:t>
      </w:r>
      <w:r>
        <w:t xml:space="preserve"> in SCG activation request</w:t>
      </w:r>
      <w:r w:rsidR="00157A49">
        <w:t xml:space="preserve">, so network can further decide whether to </w:t>
      </w:r>
      <w:r>
        <w:t xml:space="preserve">activate the SCG or reconfigure the bearer type. However, this may cause more complexity to Xn interface, like, MN needs to inform SN which </w:t>
      </w:r>
      <w:r w:rsidR="00D2688D">
        <w:t xml:space="preserve">RLC bearer has UL data, and in theory, the bearer mapping relation in SCG is transparent to MN. So for simplicity, we think it is enough to send a simple indication to MN, and it is up to MN to decide whether to activate SCG or release SCG or triggers bearer change. </w:t>
      </w:r>
    </w:p>
    <w:p w14:paraId="45461B4E" w14:textId="1C77426E" w:rsidR="00945A30" w:rsidRPr="00D2688D" w:rsidRDefault="00945A30" w:rsidP="00D2688D">
      <w:pPr>
        <w:ind w:left="1134" w:hanging="1134"/>
        <w:rPr>
          <w:b/>
        </w:rPr>
      </w:pPr>
      <w:r>
        <w:rPr>
          <w:b/>
        </w:rPr>
        <w:t xml:space="preserve">Proposal </w:t>
      </w:r>
      <w:r w:rsidR="00D2688D">
        <w:rPr>
          <w:b/>
        </w:rPr>
        <w:t>2</w:t>
      </w:r>
      <w:r>
        <w:rPr>
          <w:b/>
        </w:rPr>
        <w:t xml:space="preserve">: </w:t>
      </w:r>
      <w:r w:rsidR="000419EC">
        <w:rPr>
          <w:b/>
        </w:rPr>
        <w:t>In case UL data arrives</w:t>
      </w:r>
      <w:r w:rsidR="00044E49">
        <w:rPr>
          <w:b/>
        </w:rPr>
        <w:t xml:space="preserve"> for SCG bearer</w:t>
      </w:r>
      <w:r w:rsidR="000419EC">
        <w:rPr>
          <w:b/>
        </w:rPr>
        <w:t xml:space="preserve">, the </w:t>
      </w:r>
      <w:r>
        <w:rPr>
          <w:b/>
        </w:rPr>
        <w:t xml:space="preserve">UE </w:t>
      </w:r>
      <w:r w:rsidR="0038271D">
        <w:rPr>
          <w:b/>
        </w:rPr>
        <w:t xml:space="preserve">can </w:t>
      </w:r>
      <w:r>
        <w:rPr>
          <w:b/>
        </w:rPr>
        <w:t>sen</w:t>
      </w:r>
      <w:r w:rsidR="0038271D">
        <w:rPr>
          <w:b/>
        </w:rPr>
        <w:t>d</w:t>
      </w:r>
      <w:r w:rsidR="000419EC">
        <w:rPr>
          <w:b/>
        </w:rPr>
        <w:t xml:space="preserve"> </w:t>
      </w:r>
      <w:r w:rsidR="000419EC" w:rsidRPr="000419EC">
        <w:rPr>
          <w:b/>
          <w:i/>
        </w:rPr>
        <w:t>UEAssistance</w:t>
      </w:r>
      <w:r w:rsidRPr="000419EC">
        <w:rPr>
          <w:b/>
          <w:i/>
        </w:rPr>
        <w:t>Information</w:t>
      </w:r>
      <w:r w:rsidR="000419EC">
        <w:rPr>
          <w:b/>
        </w:rPr>
        <w:t xml:space="preserve"> message </w:t>
      </w:r>
      <w:r w:rsidR="004D10AC">
        <w:rPr>
          <w:b/>
        </w:rPr>
        <w:t xml:space="preserve">to MN, </w:t>
      </w:r>
      <w:r w:rsidR="000419EC">
        <w:rPr>
          <w:b/>
        </w:rPr>
        <w:t xml:space="preserve">including 1 bit </w:t>
      </w:r>
      <w:r w:rsidR="00771C60">
        <w:rPr>
          <w:b/>
        </w:rPr>
        <w:t>SCG</w:t>
      </w:r>
      <w:r w:rsidR="000419EC">
        <w:rPr>
          <w:b/>
        </w:rPr>
        <w:t xml:space="preserve"> activation preference indication</w:t>
      </w:r>
      <w:r>
        <w:rPr>
          <w:b/>
        </w:rPr>
        <w:t>.</w:t>
      </w:r>
    </w:p>
    <w:p w14:paraId="25A150FE" w14:textId="16CD12A2" w:rsidR="000419EC" w:rsidRPr="00DF1522" w:rsidRDefault="000419EC" w:rsidP="000419EC">
      <w:pPr>
        <w:ind w:left="1134" w:hanging="1134"/>
        <w:rPr>
          <w:b/>
        </w:rPr>
      </w:pPr>
      <w:r>
        <w:rPr>
          <w:b/>
        </w:rPr>
        <w:t xml:space="preserve">Proposal </w:t>
      </w:r>
      <w:r w:rsidR="00D2688D">
        <w:rPr>
          <w:b/>
        </w:rPr>
        <w:t>3</w:t>
      </w:r>
      <w:r>
        <w:rPr>
          <w:b/>
        </w:rPr>
        <w:t xml:space="preserve">: </w:t>
      </w:r>
      <w:r w:rsidR="004D10AC">
        <w:rPr>
          <w:b/>
        </w:rPr>
        <w:t xml:space="preserve">It is up to network </w:t>
      </w:r>
      <w:r w:rsidR="00CB42DF">
        <w:rPr>
          <w:b/>
        </w:rPr>
        <w:t xml:space="preserve">to decide </w:t>
      </w:r>
      <w:r w:rsidR="004D10AC">
        <w:rPr>
          <w:b/>
        </w:rPr>
        <w:t xml:space="preserve">how to </w:t>
      </w:r>
      <w:r w:rsidR="001A2218">
        <w:rPr>
          <w:b/>
        </w:rPr>
        <w:t>response</w:t>
      </w:r>
      <w:r w:rsidR="004D10AC">
        <w:rPr>
          <w:b/>
        </w:rPr>
        <w:t xml:space="preserve"> after receives the </w:t>
      </w:r>
      <w:r w:rsidR="004D10AC" w:rsidRPr="00CB42DF">
        <w:rPr>
          <w:b/>
          <w:i/>
        </w:rPr>
        <w:t>UEAssistanceInformation</w:t>
      </w:r>
      <w:r w:rsidR="004D10AC">
        <w:rPr>
          <w:b/>
        </w:rPr>
        <w:t xml:space="preserve"> message. </w:t>
      </w:r>
    </w:p>
    <w:p w14:paraId="2D7DD78B" w14:textId="12AEF56B" w:rsidR="00D2688D" w:rsidRDefault="00D2688D" w:rsidP="00DF1522">
      <w:r>
        <w:t>And if the primary path of split bearer was set to “SCG” when SCG is deactivated, and there is UL data arrives on the split bearer, the UE can also trigger SCG activation request by sending UAI message to MN. In Rel-17, there is no need to introduce complex cause value to differentiate different cases.</w:t>
      </w:r>
    </w:p>
    <w:p w14:paraId="2D9258CD" w14:textId="28FED4BA" w:rsidR="00945A30" w:rsidRDefault="00D2688D" w:rsidP="00D2688D">
      <w:pPr>
        <w:ind w:left="1134" w:hanging="1134"/>
      </w:pPr>
      <w:r w:rsidRPr="00D2688D">
        <w:rPr>
          <w:b/>
        </w:rPr>
        <w:t xml:space="preserve">Proposal </w:t>
      </w:r>
      <w:r>
        <w:rPr>
          <w:b/>
        </w:rPr>
        <w:t>4</w:t>
      </w:r>
      <w:r w:rsidRPr="00D2688D">
        <w:rPr>
          <w:b/>
        </w:rPr>
        <w:t xml:space="preserve">: </w:t>
      </w:r>
      <w:r>
        <w:rPr>
          <w:b/>
        </w:rPr>
        <w:t xml:space="preserve">In case UL data arrives for split bearer and primary path is set to “MCG”, </w:t>
      </w:r>
      <w:r w:rsidRPr="00D2688D">
        <w:rPr>
          <w:b/>
        </w:rPr>
        <w:t xml:space="preserve">UE can </w:t>
      </w:r>
      <w:r>
        <w:rPr>
          <w:b/>
        </w:rPr>
        <w:t xml:space="preserve">also </w:t>
      </w:r>
      <w:r w:rsidRPr="00D2688D">
        <w:rPr>
          <w:b/>
        </w:rPr>
        <w:t xml:space="preserve">send </w:t>
      </w:r>
      <w:r w:rsidRPr="00D2688D">
        <w:rPr>
          <w:b/>
          <w:i/>
        </w:rPr>
        <w:t>UEAssistanceInformation</w:t>
      </w:r>
      <w:r>
        <w:rPr>
          <w:b/>
          <w:i/>
        </w:rPr>
        <w:t xml:space="preserve"> (including SCG activation indication)</w:t>
      </w:r>
      <w:r w:rsidRPr="00D2688D">
        <w:rPr>
          <w:b/>
        </w:rPr>
        <w:t xml:space="preserve"> message to MN</w:t>
      </w:r>
      <w:r>
        <w:rPr>
          <w:b/>
        </w:rPr>
        <w:t xml:space="preserve">. </w:t>
      </w:r>
    </w:p>
    <w:p w14:paraId="0A11B55D" w14:textId="6092CF3D" w:rsidR="00F618BE" w:rsidRDefault="00F618BE" w:rsidP="00F618B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MAC CE based approach</w:t>
      </w:r>
    </w:p>
    <w:p w14:paraId="4995D580" w14:textId="05A4D7F1" w:rsidR="00F618BE" w:rsidRDefault="00EA3C58" w:rsidP="00DF1522">
      <w:r>
        <w:rPr>
          <w:rFonts w:hint="eastAsia"/>
        </w:rPr>
        <w:t>A</w:t>
      </w:r>
      <w:r>
        <w:t xml:space="preserve">ccording to the summary of email discussion [1], </w:t>
      </w:r>
      <w:r w:rsidR="00D77292">
        <w:t xml:space="preserve">there is one proposal regarding the support of MAC CE for SCG activation. </w:t>
      </w:r>
    </w:p>
    <w:tbl>
      <w:tblPr>
        <w:tblStyle w:val="af5"/>
        <w:tblW w:w="0" w:type="auto"/>
        <w:tblLook w:val="04A0" w:firstRow="1" w:lastRow="0" w:firstColumn="1" w:lastColumn="0" w:noHBand="0" w:noVBand="1"/>
      </w:tblPr>
      <w:tblGrid>
        <w:gridCol w:w="9995"/>
      </w:tblGrid>
      <w:tr w:rsidR="00D77292" w14:paraId="1CF8F1B6" w14:textId="77777777" w:rsidTr="00D77292">
        <w:tc>
          <w:tcPr>
            <w:tcW w:w="9995" w:type="dxa"/>
          </w:tcPr>
          <w:p w14:paraId="170E5C55" w14:textId="155D9BE0" w:rsidR="00D77292" w:rsidRDefault="00D77292" w:rsidP="00DF1522">
            <w:r w:rsidRPr="00DA0EA7">
              <w:rPr>
                <w:rFonts w:eastAsia="MS LineDraw" w:hint="eastAsia"/>
                <w:b/>
              </w:rPr>
              <w:t>[</w:t>
            </w:r>
            <w:r w:rsidRPr="00DA0EA7">
              <w:rPr>
                <w:rFonts w:eastAsia="MS LineDraw"/>
                <w:b/>
              </w:rPr>
              <w:t xml:space="preserve">For discussion]Proposal 12: RAN2 to discuss whether </w:t>
            </w:r>
            <w:r>
              <w:rPr>
                <w:rFonts w:eastAsia="MS LineDraw"/>
                <w:b/>
              </w:rPr>
              <w:t>to support a MAC CE to indicate "SCG activation", presumably with no additional information in the MAC CE.</w:t>
            </w:r>
          </w:p>
        </w:tc>
      </w:tr>
    </w:tbl>
    <w:p w14:paraId="63DEC7CB" w14:textId="6208E028" w:rsidR="00EA3C58" w:rsidRDefault="00D77292" w:rsidP="00DF1522">
      <w:r>
        <w:rPr>
          <w:rFonts w:hint="eastAsia"/>
        </w:rPr>
        <w:t>I</w:t>
      </w:r>
      <w:r>
        <w:t>n our view, we think it is sufficient to use RRC signaling to activate or deactivate SCG, there is no need to support MAC CE based approach, because:</w:t>
      </w:r>
    </w:p>
    <w:p w14:paraId="45C8B2E7" w14:textId="64103BDF" w:rsidR="0070418B" w:rsidRDefault="00E56711" w:rsidP="001B71C5">
      <w:pPr>
        <w:pStyle w:val="afffffff3"/>
        <w:numPr>
          <w:ilvl w:val="0"/>
          <w:numId w:val="6"/>
        </w:numPr>
      </w:pPr>
      <w:r>
        <w:rPr>
          <w:rFonts w:hint="eastAsia"/>
          <w:lang w:eastAsia="zh-CN"/>
        </w:rPr>
        <w:t>M</w:t>
      </w:r>
      <w:r>
        <w:rPr>
          <w:lang w:eastAsia="zh-CN"/>
        </w:rPr>
        <w:t xml:space="preserve">AC CE based approach is only applicable when there is no MCG and SCG reconfiguration during SCG activation. However, </w:t>
      </w:r>
      <w:r w:rsidR="003012C2">
        <w:rPr>
          <w:lang w:eastAsia="zh-CN"/>
        </w:rPr>
        <w:t>i</w:t>
      </w:r>
      <w:r w:rsidR="0070418B">
        <w:rPr>
          <w:lang w:eastAsia="zh-CN"/>
        </w:rPr>
        <w:t xml:space="preserve">n most cases, network needs to update </w:t>
      </w:r>
      <w:r w:rsidR="003012C2">
        <w:rPr>
          <w:lang w:eastAsia="zh-CN"/>
        </w:rPr>
        <w:t>some</w:t>
      </w:r>
      <w:r w:rsidR="0070418B">
        <w:rPr>
          <w:lang w:eastAsia="zh-CN"/>
        </w:rPr>
        <w:t xml:space="preserve"> configurations when acti</w:t>
      </w:r>
      <w:r w:rsidR="003012C2">
        <w:rPr>
          <w:lang w:eastAsia="zh-CN"/>
        </w:rPr>
        <w:t>vates the SCG, thus</w:t>
      </w:r>
      <w:r w:rsidR="003012C2" w:rsidRPr="003012C2">
        <w:t xml:space="preserve"> </w:t>
      </w:r>
      <w:r w:rsidR="003012C2">
        <w:t xml:space="preserve">“SCG activation with no configuration change” is not common that worth discussing. </w:t>
      </w:r>
      <w:r w:rsidR="003012C2">
        <w:rPr>
          <w:lang w:eastAsia="zh-CN"/>
        </w:rPr>
        <w:t>For instance, configuration change may happen in following cases</w:t>
      </w:r>
      <w:r w:rsidR="0070418B">
        <w:rPr>
          <w:lang w:eastAsia="zh-CN"/>
        </w:rPr>
        <w:t>:</w:t>
      </w:r>
    </w:p>
    <w:p w14:paraId="297EC03B" w14:textId="7D4C2651" w:rsidR="0070418B" w:rsidRDefault="0070418B" w:rsidP="001B71C5">
      <w:pPr>
        <w:pStyle w:val="afffffff3"/>
        <w:numPr>
          <w:ilvl w:val="1"/>
          <w:numId w:val="6"/>
        </w:numPr>
      </w:pPr>
      <w:r>
        <w:rPr>
          <w:lang w:eastAsia="zh-CN"/>
        </w:rPr>
        <w:t>Reconfigure PUCCH/SR resources after TAT expires;</w:t>
      </w:r>
    </w:p>
    <w:p w14:paraId="47227345" w14:textId="6CA526B5" w:rsidR="0070418B" w:rsidRDefault="0070418B" w:rsidP="001B71C5">
      <w:pPr>
        <w:pStyle w:val="afffffff3"/>
        <w:numPr>
          <w:ilvl w:val="1"/>
          <w:numId w:val="6"/>
        </w:numPr>
      </w:pPr>
      <w:r>
        <w:rPr>
          <w:lang w:eastAsia="zh-CN"/>
        </w:rPr>
        <w:t>Reconfigure PUCCH/SR/SRS…etc, if those resources were allocated to other UEs;</w:t>
      </w:r>
    </w:p>
    <w:p w14:paraId="086A2A94" w14:textId="137BC3A4" w:rsidR="00FA615D" w:rsidRDefault="0070418B" w:rsidP="001B71C5">
      <w:pPr>
        <w:pStyle w:val="afffffff3"/>
        <w:numPr>
          <w:ilvl w:val="1"/>
          <w:numId w:val="6"/>
        </w:numPr>
      </w:pPr>
      <w:r>
        <w:rPr>
          <w:lang w:eastAsia="zh-CN"/>
        </w:rPr>
        <w:t xml:space="preserve">Configure dedicated RACH resource to UE, to enable CFRA for SCG activation; </w:t>
      </w:r>
    </w:p>
    <w:p w14:paraId="6E352D94" w14:textId="73141BC7" w:rsidR="0070418B" w:rsidRDefault="0070418B" w:rsidP="001B71C5">
      <w:pPr>
        <w:pStyle w:val="afffffff3"/>
        <w:numPr>
          <w:ilvl w:val="1"/>
          <w:numId w:val="6"/>
        </w:numPr>
      </w:pPr>
      <w:r>
        <w:rPr>
          <w:lang w:eastAsia="zh-CN"/>
        </w:rPr>
        <w:lastRenderedPageBreak/>
        <w:t xml:space="preserve">Reconfigure the TCI-states that UE should use after SCG activation; </w:t>
      </w:r>
    </w:p>
    <w:p w14:paraId="657A9A00" w14:textId="0FAD765D" w:rsidR="0070418B" w:rsidRDefault="003012C2" w:rsidP="001B71C5">
      <w:pPr>
        <w:pStyle w:val="afffffff3"/>
        <w:numPr>
          <w:ilvl w:val="1"/>
          <w:numId w:val="6"/>
        </w:numPr>
      </w:pPr>
      <w:r>
        <w:rPr>
          <w:lang w:eastAsia="zh-CN"/>
        </w:rPr>
        <w:t>Indicate</w:t>
      </w:r>
      <w:r w:rsidR="0070418B">
        <w:rPr>
          <w:lang w:eastAsia="zh-CN"/>
        </w:rPr>
        <w:t xml:space="preserve"> </w:t>
      </w:r>
      <w:r w:rsidR="0070418B" w:rsidRPr="003012C2">
        <w:rPr>
          <w:i/>
          <w:lang w:eastAsia="zh-CN"/>
        </w:rPr>
        <w:t>SCell-</w:t>
      </w:r>
      <w:r w:rsidRPr="003012C2">
        <w:rPr>
          <w:i/>
          <w:lang w:eastAsia="zh-CN"/>
        </w:rPr>
        <w:t>state</w:t>
      </w:r>
      <w:r>
        <w:rPr>
          <w:lang w:eastAsia="zh-CN"/>
        </w:rPr>
        <w:t xml:space="preserve"> to activate SCG SCell(s);</w:t>
      </w:r>
    </w:p>
    <w:p w14:paraId="0CA27E91" w14:textId="18EB965E" w:rsidR="003012C2" w:rsidRDefault="0070418B" w:rsidP="001B71C5">
      <w:pPr>
        <w:pStyle w:val="afffffff3"/>
        <w:numPr>
          <w:ilvl w:val="1"/>
          <w:numId w:val="6"/>
        </w:numPr>
      </w:pPr>
      <w:r>
        <w:rPr>
          <w:lang w:eastAsia="zh-CN"/>
        </w:rPr>
        <w:t>Reconfigure RR</w:t>
      </w:r>
      <w:r w:rsidR="003012C2">
        <w:rPr>
          <w:lang w:eastAsia="zh-CN"/>
        </w:rPr>
        <w:t xml:space="preserve">M measurement configurations. </w:t>
      </w:r>
    </w:p>
    <w:p w14:paraId="68BF1D83" w14:textId="2A7CB230" w:rsidR="00A54A03" w:rsidRDefault="00D77292" w:rsidP="001B71C5">
      <w:pPr>
        <w:pStyle w:val="afffffff3"/>
        <w:numPr>
          <w:ilvl w:val="0"/>
          <w:numId w:val="6"/>
        </w:numPr>
      </w:pPr>
      <w:r>
        <w:t xml:space="preserve">The motivation of introducing MAC CE based SCG activation is to reduce the </w:t>
      </w:r>
      <w:r w:rsidR="00FA615D">
        <w:t>delay</w:t>
      </w:r>
      <w:r>
        <w:t xml:space="preserve"> of SCG activation. Based on the analysis from proponent companies, the latency can be reduced from </w:t>
      </w:r>
      <w:r w:rsidR="00FA615D">
        <w:t xml:space="preserve">16ms to 6ms. However, </w:t>
      </w:r>
      <w:r w:rsidR="00A54A03">
        <w:t xml:space="preserve">if UE-initiated SCG activation (for UL data arrival) via SCG is not supported, and the MN needs to coordinate with SN every time when activates the SCG, then compared with the delay caused by </w:t>
      </w:r>
      <w:r w:rsidR="003A2CE1">
        <w:t>Xn interactions</w:t>
      </w:r>
      <w:r w:rsidR="00A54A03">
        <w:t>, the Uu delay saved by MAC CE is trivial.</w:t>
      </w:r>
    </w:p>
    <w:p w14:paraId="3BD554BE" w14:textId="37F2CC86" w:rsidR="00C64408" w:rsidRDefault="0070418B" w:rsidP="001B71C5">
      <w:pPr>
        <w:pStyle w:val="afffffff3"/>
        <w:numPr>
          <w:ilvl w:val="0"/>
          <w:numId w:val="6"/>
        </w:numPr>
      </w:pPr>
      <w:r>
        <w:rPr>
          <w:rFonts w:hint="eastAsia"/>
          <w:lang w:eastAsia="zh-CN"/>
        </w:rPr>
        <w:t>M</w:t>
      </w:r>
      <w:r>
        <w:rPr>
          <w:lang w:eastAsia="zh-CN"/>
        </w:rPr>
        <w:t xml:space="preserve">AC CE is per-CG defined and signaled, </w:t>
      </w:r>
      <w:r w:rsidR="003012C2">
        <w:rPr>
          <w:lang w:eastAsia="zh-CN"/>
        </w:rPr>
        <w:t>if MAC CE is used to instruct UE to perform SCG operations. Then we need t further discuss whether the MAC CE should be generated by MCG or SCG. The former option violates the basic principle of MAC CE operation, while the latter option causes much more complexity to CU-DU and Xn interfaces.</w:t>
      </w:r>
      <w:r>
        <w:rPr>
          <w:lang w:eastAsia="zh-CN"/>
        </w:rPr>
        <w:t xml:space="preserve"> </w:t>
      </w:r>
    </w:p>
    <w:p w14:paraId="7B253232" w14:textId="4AE0C983" w:rsidR="00F618BE" w:rsidRDefault="00E05615" w:rsidP="00DF1522">
      <w:r>
        <w:t>So based on above reasons, we think it is not necessary to discuss MAC-CE based approach in Rel-17, so:</w:t>
      </w:r>
    </w:p>
    <w:p w14:paraId="1FC6A3CF" w14:textId="0201E1D0" w:rsidR="00F618BE" w:rsidRPr="00DF1522" w:rsidRDefault="00F618BE" w:rsidP="00F618BE">
      <w:pPr>
        <w:ind w:left="1134" w:hanging="1134"/>
        <w:rPr>
          <w:b/>
        </w:rPr>
      </w:pPr>
      <w:r>
        <w:rPr>
          <w:b/>
        </w:rPr>
        <w:t xml:space="preserve">Proposal </w:t>
      </w:r>
      <w:r w:rsidR="00D2688D">
        <w:rPr>
          <w:b/>
        </w:rPr>
        <w:t>5</w:t>
      </w:r>
      <w:r>
        <w:rPr>
          <w:b/>
        </w:rPr>
        <w:t>: MAC CE based SCG activation or deactivation is not supported in Rel-17.</w:t>
      </w:r>
    </w:p>
    <w:p w14:paraId="6E9BA446" w14:textId="23C03E50" w:rsidR="00F618BE" w:rsidRPr="00E05615" w:rsidRDefault="00E05615" w:rsidP="00DF1522">
      <w:r>
        <w:rPr>
          <w:rFonts w:hint="eastAsia"/>
        </w:rPr>
        <w:t>I</w:t>
      </w:r>
      <w:r>
        <w:t xml:space="preserve">f companies really want to reduce Uu latency, then we suggest to discuss and define a reduced RRC processing time in case there is limited or no SCG reconfiguration during SCG activation. Considering SCG activation can be triggered via RRCReconfiguration and RRCResume, then both cases can be considered. </w:t>
      </w:r>
    </w:p>
    <w:p w14:paraId="37A7A42B" w14:textId="535E556B" w:rsidR="00F618BE" w:rsidRPr="00DF1522" w:rsidRDefault="00F618BE" w:rsidP="00F618BE">
      <w:pPr>
        <w:ind w:left="1134" w:hanging="1134"/>
        <w:rPr>
          <w:b/>
        </w:rPr>
      </w:pPr>
      <w:r>
        <w:rPr>
          <w:b/>
        </w:rPr>
        <w:t xml:space="preserve">Proposal </w:t>
      </w:r>
      <w:r w:rsidR="00D2688D">
        <w:rPr>
          <w:b/>
        </w:rPr>
        <w:t>6</w:t>
      </w:r>
      <w:r>
        <w:rPr>
          <w:b/>
        </w:rPr>
        <w:t xml:space="preserve">: Define a reduced RRC processing time for </w:t>
      </w:r>
      <w:r w:rsidRPr="00F618BE">
        <w:rPr>
          <w:b/>
          <w:i/>
        </w:rPr>
        <w:t>RRCReconfiguration</w:t>
      </w:r>
      <w:r>
        <w:rPr>
          <w:b/>
        </w:rPr>
        <w:t xml:space="preserve"> and </w:t>
      </w:r>
      <w:r w:rsidRPr="00F618BE">
        <w:rPr>
          <w:b/>
          <w:i/>
        </w:rPr>
        <w:t>RRCResume</w:t>
      </w:r>
      <w:r>
        <w:rPr>
          <w:b/>
        </w:rPr>
        <w:t xml:space="preserve"> </w:t>
      </w:r>
      <w:r w:rsidR="0042615D">
        <w:rPr>
          <w:b/>
        </w:rPr>
        <w:t>in case</w:t>
      </w:r>
      <w:r>
        <w:rPr>
          <w:b/>
        </w:rPr>
        <w:t xml:space="preserve"> SCG is activated with </w:t>
      </w:r>
      <w:r w:rsidR="00E05615">
        <w:rPr>
          <w:b/>
        </w:rPr>
        <w:t xml:space="preserve">limited or </w:t>
      </w:r>
      <w:r>
        <w:rPr>
          <w:b/>
        </w:rPr>
        <w:t>no SCG reconfiguration.</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07127A65" w14:textId="77777777" w:rsidR="00FE5DAC" w:rsidRPr="00D2688D" w:rsidRDefault="00FE5DAC" w:rsidP="00FE5DAC">
      <w:pPr>
        <w:ind w:left="1134" w:hanging="1134"/>
        <w:rPr>
          <w:b/>
        </w:rPr>
      </w:pPr>
      <w:bookmarkStart w:id="3" w:name="_Toc535476034"/>
      <w:r>
        <w:rPr>
          <w:b/>
        </w:rPr>
        <w:t>Proposal 1: UE does not autonomously change the primary path of split bearer upon SCG (de)activation (if needed, network can explicitly reconfigure the field).</w:t>
      </w:r>
    </w:p>
    <w:p w14:paraId="11928F98" w14:textId="77777777" w:rsidR="00FE5DAC" w:rsidRPr="00D2688D" w:rsidRDefault="00FE5DAC" w:rsidP="00FE5DAC">
      <w:pPr>
        <w:ind w:left="1134" w:hanging="1134"/>
        <w:rPr>
          <w:b/>
        </w:rPr>
      </w:pPr>
      <w:r>
        <w:rPr>
          <w:b/>
        </w:rPr>
        <w:t xml:space="preserve">Proposal 2: In case UL data arrives for SCG bearer, the UE can send </w:t>
      </w:r>
      <w:r w:rsidRPr="000419EC">
        <w:rPr>
          <w:b/>
          <w:i/>
        </w:rPr>
        <w:t>UEAssistanceInformation</w:t>
      </w:r>
      <w:r>
        <w:rPr>
          <w:b/>
        </w:rPr>
        <w:t xml:space="preserve"> message to MN, including 1 bit SCG activation preference indication.</w:t>
      </w:r>
    </w:p>
    <w:p w14:paraId="3E9B6514" w14:textId="0A7AA34A" w:rsidR="00FE5DAC" w:rsidRPr="00DF1522" w:rsidRDefault="00FE5DAC" w:rsidP="00FE5DAC">
      <w:pPr>
        <w:ind w:left="1134" w:hanging="1134"/>
        <w:rPr>
          <w:b/>
        </w:rPr>
      </w:pPr>
      <w:r>
        <w:rPr>
          <w:b/>
        </w:rPr>
        <w:t xml:space="preserve">Proposal 3: It is up to network </w:t>
      </w:r>
      <w:r w:rsidR="00CB42DF">
        <w:rPr>
          <w:b/>
        </w:rPr>
        <w:t>to decide how</w:t>
      </w:r>
      <w:r>
        <w:rPr>
          <w:b/>
        </w:rPr>
        <w:t xml:space="preserve"> to response after receives the </w:t>
      </w:r>
      <w:r w:rsidRPr="00CB42DF">
        <w:rPr>
          <w:b/>
          <w:i/>
        </w:rPr>
        <w:t>UEAssistanceInformation</w:t>
      </w:r>
      <w:r>
        <w:rPr>
          <w:b/>
        </w:rPr>
        <w:t xml:space="preserve"> message. </w:t>
      </w:r>
    </w:p>
    <w:p w14:paraId="06068636" w14:textId="77777777" w:rsidR="00FE5DAC" w:rsidRDefault="00FE5DAC" w:rsidP="00FE5DAC">
      <w:pPr>
        <w:ind w:left="1134" w:hanging="1134"/>
      </w:pPr>
      <w:r w:rsidRPr="00D2688D">
        <w:rPr>
          <w:b/>
        </w:rPr>
        <w:t xml:space="preserve">Proposal </w:t>
      </w:r>
      <w:r>
        <w:rPr>
          <w:b/>
        </w:rPr>
        <w:t>4</w:t>
      </w:r>
      <w:r w:rsidRPr="00D2688D">
        <w:rPr>
          <w:b/>
        </w:rPr>
        <w:t xml:space="preserve">: </w:t>
      </w:r>
      <w:r>
        <w:rPr>
          <w:b/>
        </w:rPr>
        <w:t xml:space="preserve">In case UL data arrives for split bearer and primary path is set to “MCG”, </w:t>
      </w:r>
      <w:r w:rsidRPr="00D2688D">
        <w:rPr>
          <w:b/>
        </w:rPr>
        <w:t xml:space="preserve">UE can </w:t>
      </w:r>
      <w:r>
        <w:rPr>
          <w:b/>
        </w:rPr>
        <w:t xml:space="preserve">also </w:t>
      </w:r>
      <w:r w:rsidRPr="00D2688D">
        <w:rPr>
          <w:b/>
        </w:rPr>
        <w:t xml:space="preserve">send </w:t>
      </w:r>
      <w:r w:rsidRPr="00D2688D">
        <w:rPr>
          <w:b/>
          <w:i/>
        </w:rPr>
        <w:t>UEAssistanceInformation</w:t>
      </w:r>
      <w:r>
        <w:rPr>
          <w:b/>
          <w:i/>
        </w:rPr>
        <w:t xml:space="preserve"> (including SCG activation indication)</w:t>
      </w:r>
      <w:r w:rsidRPr="00D2688D">
        <w:rPr>
          <w:b/>
        </w:rPr>
        <w:t xml:space="preserve"> message to MN</w:t>
      </w:r>
      <w:r>
        <w:rPr>
          <w:b/>
        </w:rPr>
        <w:t xml:space="preserve">. </w:t>
      </w:r>
    </w:p>
    <w:p w14:paraId="0B5ABB96" w14:textId="77777777" w:rsidR="00FE5DAC" w:rsidRPr="00DF1522" w:rsidRDefault="00FE5DAC" w:rsidP="00FE5DAC">
      <w:pPr>
        <w:ind w:left="1134" w:hanging="1134"/>
        <w:rPr>
          <w:b/>
        </w:rPr>
      </w:pPr>
      <w:r>
        <w:rPr>
          <w:b/>
        </w:rPr>
        <w:t>Proposal 5: MAC CE based SCG activation or deactivation is not supported in Rel-17.</w:t>
      </w:r>
    </w:p>
    <w:p w14:paraId="1D490CDE" w14:textId="77777777" w:rsidR="00FE5DAC" w:rsidRPr="00DF1522" w:rsidRDefault="00FE5DAC" w:rsidP="00FE5DAC">
      <w:pPr>
        <w:ind w:left="1134" w:hanging="1134"/>
        <w:rPr>
          <w:b/>
        </w:rPr>
      </w:pPr>
      <w:r>
        <w:rPr>
          <w:b/>
        </w:rPr>
        <w:t xml:space="preserve">Proposal 6: Define a reduced RRC processing time for </w:t>
      </w:r>
      <w:r w:rsidRPr="00F618BE">
        <w:rPr>
          <w:b/>
          <w:i/>
        </w:rPr>
        <w:t>RRCReconfiguration</w:t>
      </w:r>
      <w:r>
        <w:rPr>
          <w:b/>
        </w:rPr>
        <w:t xml:space="preserve"> and </w:t>
      </w:r>
      <w:r w:rsidRPr="00F618BE">
        <w:rPr>
          <w:b/>
          <w:i/>
        </w:rPr>
        <w:t>RRCResume</w:t>
      </w:r>
      <w:r>
        <w:rPr>
          <w:b/>
        </w:rPr>
        <w:t xml:space="preserve"> in case SCG is activated with limited or no SCG reconfiguration.</w:t>
      </w:r>
    </w:p>
    <w:bookmarkEnd w:id="3"/>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0A39D8FD" w:rsidR="00E84692" w:rsidRPr="00EA3C58" w:rsidRDefault="00F7287A" w:rsidP="00156072">
      <w:pPr>
        <w:spacing w:before="156"/>
        <w:rPr>
          <w:szCs w:val="20"/>
        </w:rPr>
      </w:pPr>
      <w:r>
        <w:t xml:space="preserve">[1] </w:t>
      </w:r>
      <w:r w:rsidR="00EA3C58">
        <w:t>R2-2200057 Summary</w:t>
      </w:r>
      <w:r w:rsidR="00EA3C58" w:rsidRPr="00EA3C58">
        <w:rPr>
          <w:szCs w:val="20"/>
        </w:rPr>
        <w:t xml:space="preserve"> of </w:t>
      </w:r>
      <w:r w:rsidR="00EA3C58" w:rsidRPr="00EA3C58">
        <w:rPr>
          <w:rFonts w:cs="Arial"/>
          <w:szCs w:val="20"/>
        </w:rPr>
        <w:t>[Post116-e][225][R17 DCCA] Remaining details for SCG deactivation</w:t>
      </w:r>
      <w:r w:rsidR="00EA3C58">
        <w:rPr>
          <w:rFonts w:cs="Arial"/>
          <w:szCs w:val="20"/>
        </w:rPr>
        <w:t xml:space="preserve"> Huawei;</w:t>
      </w:r>
    </w:p>
    <w:sectPr w:rsidR="00E84692" w:rsidRPr="00EA3C58"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A9392" w14:textId="77777777" w:rsidR="00B16DCB" w:rsidRDefault="00B16DCB">
      <w:pPr>
        <w:spacing w:after="0"/>
      </w:pPr>
      <w:r>
        <w:separator/>
      </w:r>
    </w:p>
  </w:endnote>
  <w:endnote w:type="continuationSeparator" w:id="0">
    <w:p w14:paraId="73186936" w14:textId="77777777" w:rsidR="00B16DCB" w:rsidRDefault="00B16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57D5E" w14:textId="77777777" w:rsidR="00B16DCB" w:rsidRDefault="00B16DCB">
      <w:pPr>
        <w:spacing w:after="0"/>
      </w:pPr>
      <w:r>
        <w:separator/>
      </w:r>
    </w:p>
  </w:footnote>
  <w:footnote w:type="continuationSeparator" w:id="0">
    <w:p w14:paraId="5765BBDC" w14:textId="77777777" w:rsidR="00B16DCB" w:rsidRDefault="00B16D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CE719CD"/>
    <w:multiLevelType w:val="hybridMultilevel"/>
    <w:tmpl w:val="F6A6FD4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9"/>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F63"/>
    <w:rsid w:val="000103E7"/>
    <w:rsid w:val="0001173D"/>
    <w:rsid w:val="00013FAD"/>
    <w:rsid w:val="00014148"/>
    <w:rsid w:val="00015639"/>
    <w:rsid w:val="00015844"/>
    <w:rsid w:val="00015C78"/>
    <w:rsid w:val="00016E2F"/>
    <w:rsid w:val="00017BA5"/>
    <w:rsid w:val="00021259"/>
    <w:rsid w:val="00021359"/>
    <w:rsid w:val="00021B55"/>
    <w:rsid w:val="0002351A"/>
    <w:rsid w:val="000248FC"/>
    <w:rsid w:val="0002660A"/>
    <w:rsid w:val="00026899"/>
    <w:rsid w:val="0002698B"/>
    <w:rsid w:val="00027585"/>
    <w:rsid w:val="00031AE5"/>
    <w:rsid w:val="00031C28"/>
    <w:rsid w:val="00034422"/>
    <w:rsid w:val="00034A7A"/>
    <w:rsid w:val="00035803"/>
    <w:rsid w:val="00035B5F"/>
    <w:rsid w:val="00035EF9"/>
    <w:rsid w:val="0003610B"/>
    <w:rsid w:val="00037051"/>
    <w:rsid w:val="00037973"/>
    <w:rsid w:val="00040A63"/>
    <w:rsid w:val="0004105F"/>
    <w:rsid w:val="0004184B"/>
    <w:rsid w:val="000419EC"/>
    <w:rsid w:val="000424DB"/>
    <w:rsid w:val="00042E6F"/>
    <w:rsid w:val="00043923"/>
    <w:rsid w:val="00043934"/>
    <w:rsid w:val="000439F7"/>
    <w:rsid w:val="00044CC7"/>
    <w:rsid w:val="00044E49"/>
    <w:rsid w:val="0004506E"/>
    <w:rsid w:val="00046160"/>
    <w:rsid w:val="0004617C"/>
    <w:rsid w:val="00047122"/>
    <w:rsid w:val="00047CF7"/>
    <w:rsid w:val="00050DD9"/>
    <w:rsid w:val="0005129F"/>
    <w:rsid w:val="00051351"/>
    <w:rsid w:val="00051971"/>
    <w:rsid w:val="000563ED"/>
    <w:rsid w:val="00057DA8"/>
    <w:rsid w:val="00061447"/>
    <w:rsid w:val="00062DCF"/>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3C5C"/>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3CA6"/>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59AA"/>
    <w:rsid w:val="000D60F5"/>
    <w:rsid w:val="000D722D"/>
    <w:rsid w:val="000E10F3"/>
    <w:rsid w:val="000E1125"/>
    <w:rsid w:val="000E1940"/>
    <w:rsid w:val="000E1993"/>
    <w:rsid w:val="000E3141"/>
    <w:rsid w:val="000E3B8A"/>
    <w:rsid w:val="000E4C9C"/>
    <w:rsid w:val="000E5EFE"/>
    <w:rsid w:val="000E6AE2"/>
    <w:rsid w:val="000E6F57"/>
    <w:rsid w:val="000E719D"/>
    <w:rsid w:val="000F0A7B"/>
    <w:rsid w:val="000F3AB4"/>
    <w:rsid w:val="000F3B7E"/>
    <w:rsid w:val="000F451B"/>
    <w:rsid w:val="000F589E"/>
    <w:rsid w:val="000F7D5B"/>
    <w:rsid w:val="00100030"/>
    <w:rsid w:val="00102686"/>
    <w:rsid w:val="0010366B"/>
    <w:rsid w:val="0010484A"/>
    <w:rsid w:val="00104C1F"/>
    <w:rsid w:val="00106BB7"/>
    <w:rsid w:val="00111C96"/>
    <w:rsid w:val="00111CE0"/>
    <w:rsid w:val="00111DF0"/>
    <w:rsid w:val="001135C5"/>
    <w:rsid w:val="001147C0"/>
    <w:rsid w:val="00114AAE"/>
    <w:rsid w:val="00121FD8"/>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57A49"/>
    <w:rsid w:val="00160A40"/>
    <w:rsid w:val="00160DA4"/>
    <w:rsid w:val="001627D9"/>
    <w:rsid w:val="0016373F"/>
    <w:rsid w:val="00163C8F"/>
    <w:rsid w:val="00164CA7"/>
    <w:rsid w:val="00171EEF"/>
    <w:rsid w:val="00171FF9"/>
    <w:rsid w:val="0017245C"/>
    <w:rsid w:val="00172A27"/>
    <w:rsid w:val="00172AF8"/>
    <w:rsid w:val="00173A68"/>
    <w:rsid w:val="00175874"/>
    <w:rsid w:val="001767E6"/>
    <w:rsid w:val="00176AC2"/>
    <w:rsid w:val="00176DD7"/>
    <w:rsid w:val="001802FB"/>
    <w:rsid w:val="00180684"/>
    <w:rsid w:val="001806A8"/>
    <w:rsid w:val="00180939"/>
    <w:rsid w:val="00180983"/>
    <w:rsid w:val="00182A00"/>
    <w:rsid w:val="0018310D"/>
    <w:rsid w:val="00184214"/>
    <w:rsid w:val="00184452"/>
    <w:rsid w:val="001861A9"/>
    <w:rsid w:val="00187FEF"/>
    <w:rsid w:val="00190312"/>
    <w:rsid w:val="00190A8D"/>
    <w:rsid w:val="001930BE"/>
    <w:rsid w:val="0019400F"/>
    <w:rsid w:val="00194210"/>
    <w:rsid w:val="0019547D"/>
    <w:rsid w:val="00195E1F"/>
    <w:rsid w:val="00196645"/>
    <w:rsid w:val="00197997"/>
    <w:rsid w:val="001A0C8F"/>
    <w:rsid w:val="001A2218"/>
    <w:rsid w:val="001A36A8"/>
    <w:rsid w:val="001A36F7"/>
    <w:rsid w:val="001A384E"/>
    <w:rsid w:val="001A3C20"/>
    <w:rsid w:val="001A4015"/>
    <w:rsid w:val="001A6AFD"/>
    <w:rsid w:val="001A6EDC"/>
    <w:rsid w:val="001B1565"/>
    <w:rsid w:val="001B21A1"/>
    <w:rsid w:val="001B337C"/>
    <w:rsid w:val="001B5AE5"/>
    <w:rsid w:val="001B7027"/>
    <w:rsid w:val="001B71C5"/>
    <w:rsid w:val="001B7C67"/>
    <w:rsid w:val="001C0CED"/>
    <w:rsid w:val="001C1105"/>
    <w:rsid w:val="001C16DD"/>
    <w:rsid w:val="001C17C6"/>
    <w:rsid w:val="001C18D3"/>
    <w:rsid w:val="001C22DE"/>
    <w:rsid w:val="001C27C7"/>
    <w:rsid w:val="001C3C4C"/>
    <w:rsid w:val="001C6C19"/>
    <w:rsid w:val="001C7B80"/>
    <w:rsid w:val="001D18C3"/>
    <w:rsid w:val="001D2914"/>
    <w:rsid w:val="001D2FB0"/>
    <w:rsid w:val="001D5AE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3C7"/>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80857"/>
    <w:rsid w:val="00280C99"/>
    <w:rsid w:val="002814D6"/>
    <w:rsid w:val="00281718"/>
    <w:rsid w:val="00281A52"/>
    <w:rsid w:val="00281B15"/>
    <w:rsid w:val="0028219B"/>
    <w:rsid w:val="0028228F"/>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038E"/>
    <w:rsid w:val="002B136A"/>
    <w:rsid w:val="002B1601"/>
    <w:rsid w:val="002B1638"/>
    <w:rsid w:val="002B24A3"/>
    <w:rsid w:val="002B2BBC"/>
    <w:rsid w:val="002B3320"/>
    <w:rsid w:val="002B351B"/>
    <w:rsid w:val="002B3C48"/>
    <w:rsid w:val="002B434C"/>
    <w:rsid w:val="002B446A"/>
    <w:rsid w:val="002B4F1D"/>
    <w:rsid w:val="002B67DD"/>
    <w:rsid w:val="002B7014"/>
    <w:rsid w:val="002B7799"/>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F31"/>
    <w:rsid w:val="003012C2"/>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281"/>
    <w:rsid w:val="00371876"/>
    <w:rsid w:val="00371AC5"/>
    <w:rsid w:val="00371DAE"/>
    <w:rsid w:val="0037293C"/>
    <w:rsid w:val="00372C00"/>
    <w:rsid w:val="003758A3"/>
    <w:rsid w:val="003764F0"/>
    <w:rsid w:val="00376C20"/>
    <w:rsid w:val="00377A1D"/>
    <w:rsid w:val="00377B8D"/>
    <w:rsid w:val="00381312"/>
    <w:rsid w:val="0038271D"/>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2CE1"/>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3E62"/>
    <w:rsid w:val="003C4558"/>
    <w:rsid w:val="003D01E0"/>
    <w:rsid w:val="003D03EC"/>
    <w:rsid w:val="003D0AA8"/>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92"/>
    <w:rsid w:val="00413229"/>
    <w:rsid w:val="00414305"/>
    <w:rsid w:val="00421BC3"/>
    <w:rsid w:val="004228A3"/>
    <w:rsid w:val="004229AC"/>
    <w:rsid w:val="00423D3B"/>
    <w:rsid w:val="00424172"/>
    <w:rsid w:val="004245A3"/>
    <w:rsid w:val="00424A48"/>
    <w:rsid w:val="00424D1D"/>
    <w:rsid w:val="004251AD"/>
    <w:rsid w:val="0042615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04ED"/>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29CC"/>
    <w:rsid w:val="004A402F"/>
    <w:rsid w:val="004A6761"/>
    <w:rsid w:val="004A7A61"/>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0AC"/>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C17"/>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4608"/>
    <w:rsid w:val="00545A76"/>
    <w:rsid w:val="00546E17"/>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45"/>
    <w:rsid w:val="00591FC1"/>
    <w:rsid w:val="005920BC"/>
    <w:rsid w:val="005940C1"/>
    <w:rsid w:val="00595599"/>
    <w:rsid w:val="0059566C"/>
    <w:rsid w:val="00595711"/>
    <w:rsid w:val="0059585E"/>
    <w:rsid w:val="005A3156"/>
    <w:rsid w:val="005A53DF"/>
    <w:rsid w:val="005A6185"/>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1733"/>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7B2"/>
    <w:rsid w:val="00673A1F"/>
    <w:rsid w:val="006746B2"/>
    <w:rsid w:val="0067540D"/>
    <w:rsid w:val="00675BE4"/>
    <w:rsid w:val="00676653"/>
    <w:rsid w:val="00676B15"/>
    <w:rsid w:val="0068365D"/>
    <w:rsid w:val="0068430C"/>
    <w:rsid w:val="00685237"/>
    <w:rsid w:val="006867C4"/>
    <w:rsid w:val="006871B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6893"/>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18B"/>
    <w:rsid w:val="00704BC7"/>
    <w:rsid w:val="007051AF"/>
    <w:rsid w:val="00705C15"/>
    <w:rsid w:val="00705E84"/>
    <w:rsid w:val="00705FA1"/>
    <w:rsid w:val="00707E83"/>
    <w:rsid w:val="007102B3"/>
    <w:rsid w:val="00711599"/>
    <w:rsid w:val="007116B3"/>
    <w:rsid w:val="0071183D"/>
    <w:rsid w:val="00711D94"/>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51F0"/>
    <w:rsid w:val="00765D32"/>
    <w:rsid w:val="007663A7"/>
    <w:rsid w:val="007669F1"/>
    <w:rsid w:val="007705A1"/>
    <w:rsid w:val="00770F43"/>
    <w:rsid w:val="00771468"/>
    <w:rsid w:val="007719AC"/>
    <w:rsid w:val="00771C60"/>
    <w:rsid w:val="0077202D"/>
    <w:rsid w:val="00772393"/>
    <w:rsid w:val="00773686"/>
    <w:rsid w:val="00776492"/>
    <w:rsid w:val="00776AD0"/>
    <w:rsid w:val="00782F79"/>
    <w:rsid w:val="007832D8"/>
    <w:rsid w:val="0078434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D692E"/>
    <w:rsid w:val="007E0E51"/>
    <w:rsid w:val="007E0F24"/>
    <w:rsid w:val="007E17B1"/>
    <w:rsid w:val="007E242F"/>
    <w:rsid w:val="007E27C0"/>
    <w:rsid w:val="007E321B"/>
    <w:rsid w:val="007E3C82"/>
    <w:rsid w:val="007E4716"/>
    <w:rsid w:val="007E6E32"/>
    <w:rsid w:val="007E7487"/>
    <w:rsid w:val="007E771D"/>
    <w:rsid w:val="007F1C7B"/>
    <w:rsid w:val="007F3DA7"/>
    <w:rsid w:val="007F4203"/>
    <w:rsid w:val="007F4290"/>
    <w:rsid w:val="007F502E"/>
    <w:rsid w:val="007F65F6"/>
    <w:rsid w:val="007F6A42"/>
    <w:rsid w:val="007F6C34"/>
    <w:rsid w:val="007F6FFC"/>
    <w:rsid w:val="007F7A9A"/>
    <w:rsid w:val="008013CA"/>
    <w:rsid w:val="00801995"/>
    <w:rsid w:val="008026E5"/>
    <w:rsid w:val="00802812"/>
    <w:rsid w:val="00802E86"/>
    <w:rsid w:val="00804E2C"/>
    <w:rsid w:val="008056CF"/>
    <w:rsid w:val="00806C7C"/>
    <w:rsid w:val="00806E35"/>
    <w:rsid w:val="0080728E"/>
    <w:rsid w:val="00810BA0"/>
    <w:rsid w:val="00811CC1"/>
    <w:rsid w:val="00811DC7"/>
    <w:rsid w:val="00812EF1"/>
    <w:rsid w:val="008137C2"/>
    <w:rsid w:val="00814945"/>
    <w:rsid w:val="00814985"/>
    <w:rsid w:val="008155A0"/>
    <w:rsid w:val="008160BF"/>
    <w:rsid w:val="00816F96"/>
    <w:rsid w:val="008175D4"/>
    <w:rsid w:val="008223C4"/>
    <w:rsid w:val="00822C19"/>
    <w:rsid w:val="00823AF8"/>
    <w:rsid w:val="0082692A"/>
    <w:rsid w:val="00830500"/>
    <w:rsid w:val="00832ADC"/>
    <w:rsid w:val="008343F2"/>
    <w:rsid w:val="00835293"/>
    <w:rsid w:val="00835356"/>
    <w:rsid w:val="00836941"/>
    <w:rsid w:val="00836D5A"/>
    <w:rsid w:val="008370AB"/>
    <w:rsid w:val="0083795A"/>
    <w:rsid w:val="00837C9F"/>
    <w:rsid w:val="00841A0B"/>
    <w:rsid w:val="00843379"/>
    <w:rsid w:val="008436F0"/>
    <w:rsid w:val="00843DAA"/>
    <w:rsid w:val="00843F40"/>
    <w:rsid w:val="00845019"/>
    <w:rsid w:val="00847C24"/>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5A30"/>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18D6"/>
    <w:rsid w:val="009C2086"/>
    <w:rsid w:val="009C3006"/>
    <w:rsid w:val="009D159F"/>
    <w:rsid w:val="009D1912"/>
    <w:rsid w:val="009D1A92"/>
    <w:rsid w:val="009D1CBC"/>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1C54"/>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54A03"/>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089"/>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5E86"/>
    <w:rsid w:val="00B166C8"/>
    <w:rsid w:val="00B16DCB"/>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061F"/>
    <w:rsid w:val="00B71448"/>
    <w:rsid w:val="00B7196F"/>
    <w:rsid w:val="00B7260C"/>
    <w:rsid w:val="00B737EC"/>
    <w:rsid w:val="00B82234"/>
    <w:rsid w:val="00B8283E"/>
    <w:rsid w:val="00B837AA"/>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902"/>
    <w:rsid w:val="00BE42CB"/>
    <w:rsid w:val="00BE6162"/>
    <w:rsid w:val="00BE6C9C"/>
    <w:rsid w:val="00BE6D4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D1E"/>
    <w:rsid w:val="00C413AB"/>
    <w:rsid w:val="00C414B0"/>
    <w:rsid w:val="00C41E55"/>
    <w:rsid w:val="00C42078"/>
    <w:rsid w:val="00C4248D"/>
    <w:rsid w:val="00C43809"/>
    <w:rsid w:val="00C445E2"/>
    <w:rsid w:val="00C4507F"/>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4408"/>
    <w:rsid w:val="00C6531D"/>
    <w:rsid w:val="00C65327"/>
    <w:rsid w:val="00C65838"/>
    <w:rsid w:val="00C6673E"/>
    <w:rsid w:val="00C668EE"/>
    <w:rsid w:val="00C67382"/>
    <w:rsid w:val="00C72471"/>
    <w:rsid w:val="00C747C1"/>
    <w:rsid w:val="00C750CF"/>
    <w:rsid w:val="00C751C5"/>
    <w:rsid w:val="00C7699D"/>
    <w:rsid w:val="00C76D61"/>
    <w:rsid w:val="00C8086B"/>
    <w:rsid w:val="00C82725"/>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0D6"/>
    <w:rsid w:val="00CB27C2"/>
    <w:rsid w:val="00CB2A74"/>
    <w:rsid w:val="00CB32DD"/>
    <w:rsid w:val="00CB3740"/>
    <w:rsid w:val="00CB3A9F"/>
    <w:rsid w:val="00CB42DF"/>
    <w:rsid w:val="00CB5048"/>
    <w:rsid w:val="00CB589C"/>
    <w:rsid w:val="00CB69E4"/>
    <w:rsid w:val="00CC10DA"/>
    <w:rsid w:val="00CC3A39"/>
    <w:rsid w:val="00CC79C0"/>
    <w:rsid w:val="00CC7AEA"/>
    <w:rsid w:val="00CD0081"/>
    <w:rsid w:val="00CD1094"/>
    <w:rsid w:val="00CD1B67"/>
    <w:rsid w:val="00CD229F"/>
    <w:rsid w:val="00CD362D"/>
    <w:rsid w:val="00CD5591"/>
    <w:rsid w:val="00CE0BE0"/>
    <w:rsid w:val="00CE2D1F"/>
    <w:rsid w:val="00CE31E0"/>
    <w:rsid w:val="00CE3CB7"/>
    <w:rsid w:val="00CE444E"/>
    <w:rsid w:val="00CE52F0"/>
    <w:rsid w:val="00CE6F1A"/>
    <w:rsid w:val="00CE7518"/>
    <w:rsid w:val="00CF0272"/>
    <w:rsid w:val="00CF18A3"/>
    <w:rsid w:val="00CF356A"/>
    <w:rsid w:val="00CF3DA6"/>
    <w:rsid w:val="00CF4A61"/>
    <w:rsid w:val="00CF6809"/>
    <w:rsid w:val="00D003E1"/>
    <w:rsid w:val="00D01778"/>
    <w:rsid w:val="00D01A38"/>
    <w:rsid w:val="00D029CB"/>
    <w:rsid w:val="00D04274"/>
    <w:rsid w:val="00D05326"/>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88D"/>
    <w:rsid w:val="00D26BCB"/>
    <w:rsid w:val="00D275C6"/>
    <w:rsid w:val="00D27639"/>
    <w:rsid w:val="00D3438E"/>
    <w:rsid w:val="00D34772"/>
    <w:rsid w:val="00D34CDC"/>
    <w:rsid w:val="00D34E8C"/>
    <w:rsid w:val="00D37938"/>
    <w:rsid w:val="00D40E89"/>
    <w:rsid w:val="00D41A51"/>
    <w:rsid w:val="00D42DFD"/>
    <w:rsid w:val="00D4588F"/>
    <w:rsid w:val="00D45BB6"/>
    <w:rsid w:val="00D45C6A"/>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46C7"/>
    <w:rsid w:val="00D7506A"/>
    <w:rsid w:val="00D75BD9"/>
    <w:rsid w:val="00D75D2E"/>
    <w:rsid w:val="00D766D5"/>
    <w:rsid w:val="00D77292"/>
    <w:rsid w:val="00D806A3"/>
    <w:rsid w:val="00D80C40"/>
    <w:rsid w:val="00D81232"/>
    <w:rsid w:val="00D81BAC"/>
    <w:rsid w:val="00D829CC"/>
    <w:rsid w:val="00D83149"/>
    <w:rsid w:val="00D83173"/>
    <w:rsid w:val="00D8380A"/>
    <w:rsid w:val="00D85273"/>
    <w:rsid w:val="00D85B96"/>
    <w:rsid w:val="00D90CC5"/>
    <w:rsid w:val="00D92C6A"/>
    <w:rsid w:val="00D93DC2"/>
    <w:rsid w:val="00D9573B"/>
    <w:rsid w:val="00D963A6"/>
    <w:rsid w:val="00DA12AB"/>
    <w:rsid w:val="00DA1C49"/>
    <w:rsid w:val="00DA1F90"/>
    <w:rsid w:val="00DA5CA3"/>
    <w:rsid w:val="00DA6E0F"/>
    <w:rsid w:val="00DB3689"/>
    <w:rsid w:val="00DB3767"/>
    <w:rsid w:val="00DB39E0"/>
    <w:rsid w:val="00DB64BA"/>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4172"/>
    <w:rsid w:val="00DE5939"/>
    <w:rsid w:val="00DE7746"/>
    <w:rsid w:val="00DE7AA4"/>
    <w:rsid w:val="00DF11E4"/>
    <w:rsid w:val="00DF1522"/>
    <w:rsid w:val="00DF1C50"/>
    <w:rsid w:val="00DF4490"/>
    <w:rsid w:val="00DF4CBC"/>
    <w:rsid w:val="00DF5370"/>
    <w:rsid w:val="00DF6D73"/>
    <w:rsid w:val="00E002A2"/>
    <w:rsid w:val="00E0032E"/>
    <w:rsid w:val="00E004AF"/>
    <w:rsid w:val="00E0205D"/>
    <w:rsid w:val="00E02761"/>
    <w:rsid w:val="00E02BE9"/>
    <w:rsid w:val="00E034DA"/>
    <w:rsid w:val="00E03C46"/>
    <w:rsid w:val="00E05615"/>
    <w:rsid w:val="00E06796"/>
    <w:rsid w:val="00E06DE8"/>
    <w:rsid w:val="00E1018A"/>
    <w:rsid w:val="00E10707"/>
    <w:rsid w:val="00E11639"/>
    <w:rsid w:val="00E120F4"/>
    <w:rsid w:val="00E136FB"/>
    <w:rsid w:val="00E14000"/>
    <w:rsid w:val="00E14F52"/>
    <w:rsid w:val="00E153F6"/>
    <w:rsid w:val="00E15F7E"/>
    <w:rsid w:val="00E173DF"/>
    <w:rsid w:val="00E17824"/>
    <w:rsid w:val="00E2038E"/>
    <w:rsid w:val="00E22546"/>
    <w:rsid w:val="00E22B2E"/>
    <w:rsid w:val="00E252F3"/>
    <w:rsid w:val="00E269FD"/>
    <w:rsid w:val="00E27352"/>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C4D"/>
    <w:rsid w:val="00E55E2E"/>
    <w:rsid w:val="00E5650F"/>
    <w:rsid w:val="00E56711"/>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3C58"/>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AA2"/>
    <w:rsid w:val="00F108F2"/>
    <w:rsid w:val="00F10A2C"/>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18BE"/>
    <w:rsid w:val="00F64537"/>
    <w:rsid w:val="00F64EA5"/>
    <w:rsid w:val="00F66660"/>
    <w:rsid w:val="00F66A3D"/>
    <w:rsid w:val="00F66DF3"/>
    <w:rsid w:val="00F67AB2"/>
    <w:rsid w:val="00F67D94"/>
    <w:rsid w:val="00F67F70"/>
    <w:rsid w:val="00F70EC3"/>
    <w:rsid w:val="00F70EC4"/>
    <w:rsid w:val="00F71107"/>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5937"/>
    <w:rsid w:val="00F87351"/>
    <w:rsid w:val="00F90E30"/>
    <w:rsid w:val="00F917E4"/>
    <w:rsid w:val="00F91B00"/>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615D"/>
    <w:rsid w:val="00FA729F"/>
    <w:rsid w:val="00FA75D3"/>
    <w:rsid w:val="00FB0158"/>
    <w:rsid w:val="00FB0A45"/>
    <w:rsid w:val="00FB16BC"/>
    <w:rsid w:val="00FB25A0"/>
    <w:rsid w:val="00FB2D7C"/>
    <w:rsid w:val="00FB3195"/>
    <w:rsid w:val="00FB4F37"/>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2161"/>
    <w:rsid w:val="00FE4C69"/>
    <w:rsid w:val="00FE543B"/>
    <w:rsid w:val="00FE54F3"/>
    <w:rsid w:val="00FE58B6"/>
    <w:rsid w:val="00FE5DAC"/>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3689F8-45DC-4EF0-A335-76CFBD724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8653</TotalTime>
  <Pages>3</Pages>
  <Words>1213</Words>
  <Characters>6920</Characters>
  <Application>Microsoft Office Word</Application>
  <DocSecurity>0</DocSecurity>
  <Lines>57</Lines>
  <Paragraphs>16</Paragraphs>
  <ScaleCrop>false</ScaleCrop>
  <Company>ZTE</Company>
  <LinksUpToDate>false</LinksUpToDate>
  <CharactersWithSpaces>8117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ZTE-After RAN2#116e</cp:lastModifiedBy>
  <cp:revision>764</cp:revision>
  <cp:lastPrinted>2113-01-01T00:00:00Z</cp:lastPrinted>
  <dcterms:created xsi:type="dcterms:W3CDTF">2017-09-06T12:59:00Z</dcterms:created>
  <dcterms:modified xsi:type="dcterms:W3CDTF">2022-01-10T18:02:00Z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